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黑体" w:cs="Times New Roman"/>
          <w:b/>
          <w:szCs w:val="21"/>
        </w:rPr>
      </w:pPr>
      <w:bookmarkStart w:id="1" w:name="_GoBack"/>
      <w:bookmarkEnd w:id="1"/>
      <w:r>
        <w:rPr>
          <w:rFonts w:hint="eastAsia" w:eastAsia="黑体" w:cs="Times New Roman"/>
          <w:b/>
          <w:sz w:val="28"/>
          <w:szCs w:val="28"/>
        </w:rPr>
        <w:t>附件</w:t>
      </w:r>
      <w:r>
        <w:rPr>
          <w:rFonts w:eastAsia="黑体" w:cs="Times New Roman"/>
          <w:b/>
          <w:sz w:val="28"/>
          <w:szCs w:val="28"/>
        </w:rPr>
        <w:t>1</w:t>
      </w:r>
      <w:r>
        <w:rPr>
          <w:rFonts w:hint="eastAsia" w:eastAsia="黑体" w:cs="Times New Roman"/>
          <w:b/>
          <w:sz w:val="28"/>
          <w:szCs w:val="28"/>
        </w:rPr>
        <w:t>：需求赛道赛题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赛题编号</w:t>
            </w:r>
          </w:p>
        </w:tc>
        <w:tc>
          <w:tcPr>
            <w:tcW w:w="6741" w:type="dxa"/>
          </w:tcPr>
          <w:p>
            <w:pPr>
              <w:widowControl/>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赛题名称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有机废水转化为有机营养研究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2</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煤矸石的综合利用研究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3</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盐碱地治理及种植研究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4</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废水零排放中废盐的处置和利用研究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5</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城市生态系统温室气体通量核算技术与应用研究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6</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近海环境中典型污染重金属元素的溯源分析技术与应用研究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7</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近海环境中微塑料污染物的入海行为研究和通量估算技术与应用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8</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高标准定制化人工种植用土开发与应用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9</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改良土壤的新型生物高分子材料筛选和研发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10</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农村污水处理工艺的适用性研究及经济技术评价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11</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农村经营排水户污水处理工艺技术研究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12</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农村生活污水用于灌溉的工艺设计、设备研发及其环境影响研究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13</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农村污水处理碳减排路径研究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14</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农村人居环境改善及农村有机废弃物综合利用研究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15</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垃圾填埋场的修复和治理方案探索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16</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城市易腐垃圾就地资源化利用方案设计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17</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现代生态循环农业模式和评价体系探索</w:t>
            </w:r>
          </w:p>
        </w:tc>
      </w:tr>
    </w:tbl>
    <w:p>
      <w:pPr>
        <w:widowControl/>
        <w:ind w:firstLine="0" w:firstLineChars="0"/>
        <w:jc w:val="left"/>
      </w:pPr>
      <w:r>
        <w:br w:type="page"/>
      </w:r>
    </w:p>
    <w:p>
      <w:pPr>
        <w:pStyle w:val="2"/>
      </w:pPr>
      <w:r>
        <w:rPr>
          <w:rFonts w:hint="eastAsia" w:ascii="黑体" w:hAnsi="黑体" w:eastAsia="黑体" w:cs="黑体"/>
        </w:rPr>
        <w:t>有机废水转化为有机营养研究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sz w:val="21"/>
        </w:rPr>
      </w:pPr>
      <w:r>
        <w:rPr>
          <w:rFonts w:hint="eastAsia" w:ascii="Times New Roman" w:hAnsi="Times New Roman" w:eastAsia="仿宋"/>
          <w:sz w:val="21"/>
        </w:rPr>
        <w:t>畜禽养殖废水/沼液、粮食深加工废水、食品废水、餐厨废水、湿垃圾废水等都属于高浓度有机废水，目前大部分采用生化工艺处理，达标排放。处理过程中绝大部分有机质转化为二氧化碳、甲烷等温室气体和氮气等其他气体排放至大气。上述废水中的有机质也能成为动植物生长的有机营养，研究其转化的理论、模式、技术、方法，是为建立达成“双碳”目标提供解决方案的基础。</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研发有机废水中有机质的提取和分离技术</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建立有机废水中有机质的利用模式</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研发有机废水的实用型减量化浓缩技术</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建立有机废水作为有机营养农田灌溉的综合影响评价体系</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研发有机废水中盐的高效、低成本脱除技术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20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spacing w:line="240" w:lineRule="auto"/>
        <w:ind w:firstLine="0" w:firstLineChars="0"/>
        <w:jc w:val="left"/>
      </w:pPr>
      <w:r>
        <w:br w:type="page"/>
      </w:r>
    </w:p>
    <w:p>
      <w:pPr>
        <w:pStyle w:val="2"/>
      </w:pPr>
      <w:r>
        <w:rPr>
          <w:rFonts w:hint="eastAsia" w:ascii="黑体" w:hAnsi="黑体" w:eastAsia="黑体" w:cs="黑体"/>
        </w:rPr>
        <w:t>煤矸石的综合利用研究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目前国内煤矸石堆积量超50亿吨，每年增长1~2亿吨，堆积的煤矸石占据大量土地资源，严重影响大气、土地、水资源环境及生态，同时煤矸石的自燃性也对安全带来了危害。现阶段煤矸石的主要利用是建材方向和回填，煤矸石的创新利用将提高煤矸石的利用率，为环境生态建设提供解决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探索创新的煤矸石利用技术和方向</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研发煤矸石人工土壤的有机质高效转化技术</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研究煤矸石人工土壤的重金属的迁移规律</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明确煤矸石人工土壤的环境影响</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21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盐碱地治理及种植研究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国内可治理的盐碱地超5亿亩，分布比较广，盐碱的成因也比较多，创新研究因地制宜的盐碱地的治理方式、种植方式，为提高可种土地面积，保障国家粮食安全有重要意义。</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研发创新的盐碱地治理方式和技</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研发创新的盐碱地种植方式和技术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研发低成本盐碱地治理方式和技术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研发盐碱地耕作层快速构建技术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研发盐碱地改良返碱控制技术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22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废水零排放中废盐的处置和利用研究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目前国内很多项目由于环保的需求，废水需要零排放，废水通过浓缩蒸发后，水中无机溶质最终会以盐的形式成为固形废弃物，该类固废主要成分为氯化物、硫酸盐等杂盐，一般采取填埋的方式。填埋的杂盐占据宝贵的土地资源，并可能引起土壤、地表水、地下水的污染。研究和探索废盐的综合利用方法和技术，为解决废水零排放最后一个难题，实现废弃物资源循环利用提供解决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研发盐的高效提纯和分离技术及其过程中的节能减排技术</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探索创新的杂盐处置方式</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探索盐的综合利用方式</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23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城市生态系统温室气体通量核算技术与应用研究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为贯彻2021年全国生态环境保护工作会议精神，落实“减污降碳”和“加强温室气体监测，逐步纳入生态环境监测体系统筹实施”的要求，支撑应对气候变化工作成效评估，2021年9月12日，生态环境部办公厅发布了《碳监测评估试点工作方案》，正式启动碳监测评估试点工作。碳监测与碳核算作为双碳战略的两个重要组成部分，因此生态系统温室气体通量分析与核算研究，有助于了解城市温室气体的特征。</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建立生态系统碳通量核算方法</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研究生态系统碳通量不同时空的变化特征（以某城市为研究对象）</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提出生态系统碳通量观测点位布设方案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pPr>
      <w:r>
        <w:br w:type="page"/>
      </w:r>
    </w:p>
    <w:p>
      <w:pPr>
        <w:pStyle w:val="2"/>
        <w:rPr>
          <w:rFonts w:hint="eastAsia" w:ascii="黑体" w:hAnsi="黑体" w:eastAsia="黑体" w:cs="黑体"/>
        </w:rPr>
      </w:pPr>
      <w:r>
        <w:rPr>
          <w:rFonts w:hint="eastAsia" w:ascii="黑体" w:hAnsi="黑体" w:eastAsia="黑体" w:cs="黑体"/>
        </w:rPr>
        <w:t>近海环境中典型污染重金属元素的溯源分析技术与应用研究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近海环境中重金属污染物一直以来是环境科学研究的重点课题与方向，且相关研究多围绕污染现状、含量和风险效应评估等方面的开展。污染重金属的溯源研究对于了解重金属的环境行为意义重大，有助于人类辨识重金属及其相关污染物的来源。以铅元素为例，可以通过金属同位素等检测技术进行溯源，建立近海环境中重金属铅污染物来源的端元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建立污染重金属溯源的端元模型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rPr>
          <w:b/>
          <w:bCs/>
          <w:kern w:val="44"/>
          <w:sz w:val="28"/>
          <w:szCs w:val="44"/>
        </w:rPr>
      </w:pPr>
      <w:r>
        <w:br w:type="page"/>
      </w:r>
    </w:p>
    <w:p>
      <w:pPr>
        <w:pStyle w:val="2"/>
      </w:pPr>
      <w:r>
        <w:rPr>
          <w:rFonts w:hint="eastAsia" w:ascii="黑体" w:hAnsi="黑体" w:eastAsia="黑体" w:cs="黑体"/>
        </w:rPr>
        <w:t>近海环境中微塑料污染物的入海行为研究和通量估算技术与应用</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微塑料，指粒径小于5mm的塑料，属于新型海洋污染物，每年约有480万至1270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95％以上。科学家预计到2025年，陆地进入海洋的塑料废物的累积数量将增加一个数量级。因此，全球海洋已成为微塑料的一个重要的“汇”。探究人类与海洋相互作用背景下，近海环境中微塑料污染物的入海行为研究和通量估算，有助于理解微塑料由陆入海的迁移、转化和富集等环境行为过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研究微塑料由陆入海的迁移、转化和富集等环境行为过程</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开发微塑料通量估算模型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rPr>
          <w:b/>
          <w:bCs/>
          <w:kern w:val="44"/>
          <w:sz w:val="28"/>
          <w:szCs w:val="44"/>
        </w:rPr>
      </w:pPr>
      <w:r>
        <w:br w:type="page"/>
      </w:r>
    </w:p>
    <w:p>
      <w:pPr>
        <w:pStyle w:val="2"/>
      </w:pPr>
      <w:r>
        <w:rPr>
          <w:rFonts w:hint="eastAsia" w:ascii="黑体" w:hAnsi="黑体" w:eastAsia="黑体" w:cs="黑体"/>
        </w:rPr>
        <w:t>高标准定制化人工种植用土开发与应用</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土壤肥力的解释基于“作物响应”研究中的模型，该模型将产量与特定化学养分的测试水平相匹配，不同的作物在生长过程中对土壤的各类矿物质、酸碱度及水份、透气性等有不同的需求，在规模化种植时，“土壤健康管理”是提高综合产能，促进农业高质量发展的重要手段。2022年4月浙江省农业农村厅、浙江省自然资源厅等5部门联合出台《土壤健康行动实施意见》，《意见》提出，构建土壤健康管理新体系，发挥健康土壤对保障粮食安全、农产品安全、生态安全、碳达峰碳中和等方面积极作用，不断提高耕地综合产能，促进绿色生态农业高质量发展。高标准定制化人工种植土的研究方向不仅解决了土壤健康管理的问题，同时可实现城市、矿山、农业垃圾资源化再利用，符合时代发展趋势，也是对国家及地方战略的积极响应。</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筛选城市、矿山等废弃物中的可用于配制种植土的无机物质和有机物质种类</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建立城市、矿山等废弃物再利用生产高标准定制化种植土的资源化模式</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建立城市、矿山等废弃物再利用生产高标准定制化种植土的影响评价体系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hint="eastAsia" w:ascii="Times New Roman" w:hAnsi="Times New Roman" w:eastAsia="仿宋"/>
          <w:sz w:val="21"/>
        </w:rPr>
      </w:pPr>
      <w:r>
        <w:rPr>
          <w:rFonts w:hint="eastAsia" w:ascii="Times New Roman" w:hAnsi="Times New Roman" w:eastAsia="仿宋"/>
          <w:sz w:val="21"/>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ind w:firstLine="0" w:firstLineChars="0"/>
        <w:jc w:val="left"/>
        <w:rPr>
          <w:b/>
          <w:bCs/>
          <w:kern w:val="44"/>
          <w:sz w:val="28"/>
          <w:szCs w:val="44"/>
        </w:rPr>
      </w:pPr>
      <w:r>
        <w:br w:type="page"/>
      </w:r>
    </w:p>
    <w:p>
      <w:pPr>
        <w:pStyle w:val="2"/>
        <w:rPr>
          <w:rFonts w:hint="eastAsia" w:ascii="黑体" w:hAnsi="黑体" w:eastAsia="黑体" w:cs="黑体"/>
        </w:rPr>
      </w:pPr>
      <w:r>
        <w:rPr>
          <w:rFonts w:hint="eastAsia" w:ascii="黑体" w:hAnsi="黑体" w:eastAsia="黑体" w:cs="黑体"/>
        </w:rPr>
        <w:t>改良土壤的新型生物高分子材料筛选和研发</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国外对土壤改良产品的研究，已有近100年的历史，产品发展经历了天然土壤改良产品到人工合成土壤改良产品两个时期。荒漠化治理和土壤培肥要有良好效果，使分散土粒形成团粒，改善土壤孔隙度、通气性、透水性、保水性、坚实度等物理性质，还能改善土壤化学性质，加强微生物的生命活动，调节土壤的水、肥、气、热状况。开展土壤肥力重建，提高耕地的综合生产能力，对于充分发挥土地的生产潜力，确保国家粮食安全、解决乡村振兴中的“农业”问题及国民经济快速发展具有十分重要的战略意义。</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9"/>
        </w:numPr>
        <w:ind w:firstLineChars="0"/>
        <w:rPr>
          <w:rFonts w:ascii="Times New Roman" w:hAnsi="Times New Roman" w:eastAsia="仿宋"/>
          <w:sz w:val="21"/>
        </w:rPr>
      </w:pPr>
      <w:r>
        <w:rPr>
          <w:rFonts w:hint="eastAsia" w:ascii="Times New Roman" w:hAnsi="Times New Roman" w:eastAsia="仿宋"/>
          <w:sz w:val="21"/>
        </w:rPr>
        <w:t>筛选和研发快速培肥土壤的生物高分子材料</w:t>
      </w:r>
    </w:p>
    <w:p>
      <w:pPr>
        <w:pStyle w:val="23"/>
        <w:numPr>
          <w:ilvl w:val="0"/>
          <w:numId w:val="9"/>
        </w:numPr>
        <w:ind w:firstLineChars="0"/>
        <w:rPr>
          <w:rFonts w:ascii="Times New Roman" w:hAnsi="Times New Roman" w:eastAsia="仿宋"/>
          <w:sz w:val="21"/>
        </w:rPr>
      </w:pPr>
      <w:r>
        <w:rPr>
          <w:rFonts w:hint="eastAsia" w:ascii="Times New Roman" w:hAnsi="Times New Roman" w:eastAsia="仿宋"/>
          <w:sz w:val="21"/>
        </w:rPr>
        <w:t>集成一套荒漠化治理和快速培肥新技术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hint="eastAsia" w:ascii="Times New Roman" w:hAnsi="Times New Roman" w:eastAsia="仿宋"/>
          <w:sz w:val="21"/>
        </w:rPr>
      </w:pPr>
      <w:r>
        <w:rPr>
          <w:rFonts w:hint="eastAsia" w:ascii="Times New Roman" w:hAnsi="Times New Roman" w:eastAsia="仿宋"/>
          <w:sz w:val="21"/>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农村污水处理工艺的适用性研究及经济技术评价</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pPr>
      <w:r>
        <w:rPr>
          <w:rFonts w:hint="eastAsia" w:ascii="Times New Roman" w:hAnsi="Times New Roman" w:eastAsia="仿宋"/>
          <w:sz w:val="21"/>
        </w:rPr>
        <w:t>根据《浙江省农村生活污水治理“强基增效双提标”行动方案（2021-2025）》的要求，浙江省在2025年前将初步实现农材生活污水治理体系和治理能力现代化，行政村覆盖率和出水水质达标率均达到95％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拟针对处理现状、工艺流程、运维管理、投资成本等方面进行层次分析，建立一套适用性和经济性评价指标，提出适用于不同区域环境条件的农村生活污水处理工艺。</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评估农村生活污水处理工艺的现状</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建立农村生活污水处理工艺的评价体系</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研究农村生活污水处理工艺的适用性</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pPr>
      <w:r>
        <w:br w:type="page"/>
      </w:r>
    </w:p>
    <w:p>
      <w:pPr>
        <w:pStyle w:val="2"/>
      </w:pPr>
      <w:r>
        <w:rPr>
          <w:rFonts w:hint="eastAsia" w:ascii="黑体" w:hAnsi="黑体" w:eastAsia="黑体" w:cs="黑体"/>
        </w:rPr>
        <w:t>农村经营排水户污水处理工艺技术研究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省从2003年开始实施“千万工程”，经过15年的治理，取得了丰硕的成绩。2018年中央一号文件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污水的特点及高要求标准，给其处理带来了重要的问题。村落景区中经营排水户因人口流动大、污水含油多、出水标准严、站点要求高等特点，相比于普通的农村污水要求更高，处理难度更大，技术要求更严格。这些污水如果不能有效的处理，将会对周边水体、环境造成严重的影响，从而影响村落景区的创建及可持续性发展。</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评估农村经营排水户污水处理工艺技术的现状</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总结农村经营排水户污水现状处理工艺技术的不足之处</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展望农村经营排水户污水处理工艺技术的升级及发展趋势</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农村生活污水用于灌溉的工艺设计、设备研发及其环境影响研究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近几年，各项政策包括《农村人居环境整治三年行动方案》，《关于加快制定地方农村生活污水处理排放标准的通知》等相继推出，都明确提出了要以改善农村人居环境为核心。2021年1月，十部门印发《关于推进污水资源化利用的指导意见》，实施农业农村污水以用促治工程，逐步建设完善农业污水收集处理再利用设施，处理达标后实现就近灌溉回用。2021年6月22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以农村的方式，即生态化灌溉循环模式，以减少处理成本、污水资源化、优化/简化处理工艺为导向，达到与乡村振兴和“碳中和”充分融合的目的。</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探索用于灌溉的农村生活污水预处理工艺</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研究农村生活污水灌溉资源化处理工艺及设备</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研究农村生活污水用于灌溉对作物的影响</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研究农村生活污水用于灌溉对环境的影响</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b/>
          <w:bCs/>
          <w:kern w:val="44"/>
          <w:sz w:val="28"/>
          <w:szCs w:val="44"/>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r>
        <w:br w:type="page"/>
      </w:r>
    </w:p>
    <w:p>
      <w:pPr>
        <w:pStyle w:val="2"/>
      </w:pPr>
      <w:r>
        <w:rPr>
          <w:rFonts w:hint="eastAsia" w:ascii="黑体" w:hAnsi="黑体" w:eastAsia="黑体" w:cs="黑体"/>
        </w:rPr>
        <w:t>农村污水处理碳减排路径研究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2020年9月22日，国家主席习近平在第七十五届联合国大会一般性辩论上向国际社会郑重承诺“中国将力争2030年前达到二氧化碳排放峰值，努力争取2060年前实现碳中和”。国家积极推进农村人居环境整治，旨在进一步提高农户的幸福感与获得感，农村污水治理作为重要实施内容，应积极探索绿色低碳污水处理工艺，采用新型能源和能效高的设备，减少温室气体排放，从而实现国家在各个领域的碳中和目标。</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3"/>
        </w:numPr>
        <w:ind w:firstLineChars="0"/>
        <w:rPr>
          <w:rFonts w:ascii="Times New Roman" w:hAnsi="Times New Roman" w:eastAsia="仿宋"/>
          <w:sz w:val="21"/>
        </w:rPr>
      </w:pPr>
      <w:r>
        <w:rPr>
          <w:rFonts w:hint="eastAsia" w:ascii="Times New Roman" w:hAnsi="Times New Roman" w:eastAsia="仿宋"/>
          <w:sz w:val="21"/>
        </w:rPr>
        <w:t>探索论证农村生活污水处理碳减排路径</w:t>
      </w:r>
    </w:p>
    <w:p>
      <w:pPr>
        <w:pStyle w:val="23"/>
        <w:numPr>
          <w:ilvl w:val="0"/>
          <w:numId w:val="13"/>
        </w:numPr>
        <w:ind w:firstLineChars="0"/>
        <w:rPr>
          <w:rFonts w:ascii="Times New Roman" w:hAnsi="Times New Roman" w:eastAsia="仿宋"/>
          <w:sz w:val="21"/>
        </w:rPr>
      </w:pPr>
      <w:r>
        <w:rPr>
          <w:rFonts w:hint="eastAsia" w:ascii="Times New Roman" w:hAnsi="Times New Roman" w:eastAsia="仿宋"/>
          <w:sz w:val="21"/>
        </w:rPr>
        <w:t>研发并评估农村生活污水的碳减排处理工艺和设备</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农村人居环境改善及农村有机废弃物综合利用研究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我国有5.56亿农村居民，农村居民生活中产生的有机废物数量巨大，人均在1400kg/人/年以上，包括厨余垃圾、家畜禽粪便、人粪尿、杂草、水生植物、树枝叶、瓜果藤条、农作物秸秆、各种未被化学污染的粪尿污水等都属于可再利用有机废弃物，目前大部分都是丢弃或掩埋等方式处置，只有少部分秸秆在资源化再利用。在近四十年前使用化肥之前的几千年里，这些有机废弃物是农业用肥的主要来源，农民通过沤肥的方式生产有机肥用到农地，由于这些有机肥料总量相比土地面积来说远远不够需求施肥量，所以化肥的产生解决了这个问题，但是化肥快速效应和过量使用导致了有机废弃物不再被利用，也导致了过量使用化肥导致的土壤贫瘠、板结钙化等缺陷，如果将这些有机废弃物全部利用起来，可以满足全国土地施肥量的30%以上，也就减少了30%以上的化肥用量。丢弃的有机废弃物在自然降解过程中由于厌氧菌或好氧菌的作用会产生病虫害传播、产生大量二氧化碳和甲烷，导致环境污染，如果可以全部再利用起来，虽然生物发酵过程同样产生二氧化碳，但是产出的有机肥能够助长植物，助长植物过程又可以吸收大量二氧化碳，最终可以达到“碳中和”的目标。所以该项目的理论技术和方式方法可以为“碳达峰“碳中和”目标提供助力。</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探索有机废弃物的收集模式</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开发有机废弃物资源化利用的转化技术</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建立有机废弃物生产有机肥施用至农田的综合影响评价体系</w:t>
      </w:r>
    </w:p>
    <w:p>
      <w:pPr>
        <w:pStyle w:val="23"/>
        <w:numPr>
          <w:ilvl w:val="0"/>
          <w:numId w:val="14"/>
        </w:numPr>
        <w:ind w:firstLineChars="0"/>
      </w:pPr>
      <w:r>
        <w:rPr>
          <w:rFonts w:hint="eastAsia" w:ascii="Times New Roman" w:hAnsi="Times New Roman" w:eastAsia="仿宋"/>
          <w:sz w:val="21"/>
        </w:rPr>
        <w:t>建立有机废弃物综合资源化利用的经济效益、社会效益和生态效益评价体系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2007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hint="eastAsia" w:ascii="Times New Roman" w:hAnsi="Times New Roman" w:eastAsia="仿宋"/>
          <w:sz w:val="21"/>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垃圾填埋场的修复和治理方案探索</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我国随着城市化的发展，对已封场的垃圾填埋场和旧的垃圾场进行生态修复，改造工作是非常严峻的一项工作，对于填埋场的土壤修复更是改造工作的重点，如何考虑场地实际条件，提出修复目标结合不同的土壤修复改良方案，不仅可提高土地使用率，同时也可以避免垃圾中的有害物质进入地下水污染周边环境，给土壤带来伤害。</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优化垃圾填埋场的调查研究办法</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优化垃圾填埋场土壤修复的方案（重金属修复，土壤有机质修复）</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探索垃圾填埋场再生资源利用及场地建设的新方向</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建立结合垃圾填埋场修复的治理方案的经济效益、社会效益和生态效益评价方法</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2008年，致力于环保装备研发与制造，经过多年的艰苦创业和积累，在引进和消化国内外先进技术的基础上，目前自行研发、设计、生产的系列产品已获多项国家发明专利，得到市场的好评与认可。</w:t>
      </w:r>
    </w:p>
    <w:p>
      <w:pPr>
        <w:ind w:firstLine="420"/>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城市易腐垃圾就地资源化利用方案设计</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城市居民中的易腐垃圾产出量巨大，易腐垃圾中主要包括废弃果菜残渣、过期食品、鱼肉等。有机易腐垃圾内富含大量的有机质，主要成分是淀粉、纤维素、钙质、蛋白质、脂类等，主要组成包括米、面粉类食物残余、蔬菜、动植物油、肉蛋、骨头、边角料等，包装材料等杂质。主要特点是成份复杂、有机质含量丰富、含水量极高，所以极易腐烂变质，散发恶臭，传播细菌和病毒。如不及时处理其性状和气味都会对环境卫生造成恶劣影响，且容易滋长病原微生物、霉菌毒素等有害物质。若能避免远途运输的传播，实现就地资源化处理，可极大程度缓解城市的垃圾处理压力，提升垃圾的资源化利用效率，减少垃圾焚烧和垃圾填埋的不利因素和条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研发城市易腐垃圾高效利用及实现就地资源化技术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2009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hint="eastAsia" w:ascii="Times New Roman" w:hAnsi="Times New Roman" w:eastAsia="仿宋"/>
          <w:sz w:val="21"/>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现代生态循环农业模式和评价体系探索</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在农业种植养殖企业或种养殖结合企业中，都会遇到环保问题，导致种养殖过程中的疫病问题、环保问题、限养问题、产品价值和质量问题，在遇到问题后就会逐步开始考虑无害化处理、资源化利用废弃物、生物发酵技术、生物农药技术、有机肥施用技术、轮作套作技术等。人们往往没有想到的是，在传统农业种养殖中考虑到以上提出的几个问题并且落实到生产当中后就是在做生态循环农业，就能够逐步调整好土壤结构性能、保护生态环境、提高农产品质量和价值、助力了“双碳”战略目标的推进。所以怎么将种植、养殖、食品加工、有机废弃物（固态液态）资源化利用形成一个闭环，将一个生产环节的末端连接到另一个生产环节的前端，形成生态循环链。</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设计生态农业中资源循环模式</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研发有机资源化利用的转化技术</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建立生物农药和有机肥施用至农田的综合影响评价体系</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建立资源循环型生态循环农业的经济效益、社会效益和生态效益评价体系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2010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hint="eastAsia" w:ascii="Times New Roman" w:hAnsi="Times New Roman" w:eastAsia="仿宋"/>
          <w:sz w:val="21"/>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ind w:firstLine="420"/>
      </w:pPr>
    </w:p>
    <w:p>
      <w:pPr>
        <w:rPr>
          <w:rFonts w:hint="eastAsia" w:ascii="Times New Roman" w:hAnsi="Times New Roman" w:eastAsia="黑体" w:cs="Times New Roman"/>
          <w:b/>
          <w:szCs w:val="21"/>
        </w:rPr>
      </w:pPr>
      <w:r>
        <w:rPr>
          <w:rFonts w:hint="eastAsia" w:ascii="Times New Roman" w:hAnsi="Times New Roman" w:eastAsia="黑体" w:cs="Times New Roman"/>
          <w:b/>
          <w:szCs w:val="21"/>
        </w:rPr>
        <w:br w:type="page"/>
      </w:r>
    </w:p>
    <w:p>
      <w:pPr>
        <w:rPr>
          <w:rFonts w:ascii="Times New Roman" w:hAnsi="Times New Roman" w:eastAsia="黑体" w:cs="Times New Roman"/>
          <w:b/>
          <w:szCs w:val="21"/>
        </w:rPr>
      </w:pPr>
      <w:r>
        <w:rPr>
          <w:rFonts w:hint="eastAsia" w:ascii="Times New Roman" w:hAnsi="Times New Roman" w:eastAsia="黑体" w:cs="Times New Roman"/>
          <w:b/>
          <w:szCs w:val="21"/>
        </w:rPr>
        <w:t>附件</w:t>
      </w:r>
      <w:r>
        <w:rPr>
          <w:rFonts w:hint="eastAsia" w:ascii="Times New Roman" w:hAnsi="Times New Roman" w:eastAsia="黑体" w:cs="Times New Roman"/>
          <w:b/>
          <w:szCs w:val="21"/>
          <w:lang w:val="en-US" w:eastAsia="zh-CN"/>
        </w:rPr>
        <w:t>2</w:t>
      </w:r>
      <w:r>
        <w:rPr>
          <w:rFonts w:hint="eastAsia" w:ascii="Times New Roman" w:hAnsi="Times New Roman" w:eastAsia="黑体" w:cs="Times New Roman"/>
          <w:b/>
          <w:szCs w:val="21"/>
        </w:rPr>
        <w:t>：研究综述格式</w:t>
      </w:r>
    </w:p>
    <w:p>
      <w:pPr>
        <w:spacing w:line="360" w:lineRule="auto"/>
        <w:rPr>
          <w:rFonts w:ascii="Times New Roman" w:hAnsi="Times New Roman" w:eastAsia="黑体" w:cs="Times New Roman"/>
          <w:b/>
          <w:szCs w:val="21"/>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题目（黑体三号）</w:t>
      </w:r>
    </w:p>
    <w:p>
      <w:pPr>
        <w:adjustRightInd w:val="0"/>
        <w:snapToGrid w:val="0"/>
        <w:spacing w:line="360" w:lineRule="auto"/>
        <w:ind w:firstLine="399" w:firstLineChars="221"/>
        <w:rPr>
          <w:rFonts w:ascii="宋体" w:hAnsi="宋体" w:eastAsia="宋体"/>
          <w:sz w:val="18"/>
          <w:szCs w:val="18"/>
        </w:rPr>
      </w:pPr>
      <w:r>
        <w:rPr>
          <w:rFonts w:hint="eastAsia" w:ascii="宋体" w:hAnsi="宋体" w:eastAsia="宋体"/>
          <w:b/>
          <w:sz w:val="18"/>
          <w:szCs w:val="18"/>
        </w:rPr>
        <w:t>摘要：</w:t>
      </w:r>
      <w:r>
        <w:rPr>
          <w:rFonts w:hint="eastAsia" w:ascii="宋体" w:hAnsi="宋体" w:eastAsia="宋体"/>
          <w:sz w:val="18"/>
          <w:szCs w:val="18"/>
        </w:rPr>
        <w:t>（宋体小五）</w:t>
      </w:r>
    </w:p>
    <w:p>
      <w:pPr>
        <w:adjustRightInd w:val="0"/>
        <w:snapToGrid w:val="0"/>
        <w:spacing w:line="360" w:lineRule="auto"/>
        <w:ind w:firstLine="399" w:firstLineChars="221"/>
        <w:rPr>
          <w:rFonts w:ascii="宋体" w:hAnsi="宋体" w:eastAsia="宋体"/>
          <w:sz w:val="18"/>
          <w:szCs w:val="18"/>
        </w:rPr>
      </w:pPr>
      <w:r>
        <w:rPr>
          <w:rFonts w:hint="eastAsia" w:ascii="宋体" w:hAnsi="宋体" w:eastAsia="宋体"/>
          <w:b/>
          <w:sz w:val="18"/>
          <w:szCs w:val="18"/>
        </w:rPr>
        <w:t>关键词：</w:t>
      </w:r>
      <w:r>
        <w:rPr>
          <w:rFonts w:hint="eastAsia" w:ascii="宋体" w:hAnsi="宋体" w:eastAsia="宋体"/>
          <w:sz w:val="18"/>
          <w:szCs w:val="18"/>
        </w:rPr>
        <w:t>（宋体小五）</w:t>
      </w:r>
    </w:p>
    <w:p>
      <w:pPr>
        <w:adjustRightInd w:val="0"/>
        <w:snapToGrid w:val="0"/>
        <w:spacing w:line="360" w:lineRule="auto"/>
        <w:ind w:firstLine="707" w:firstLineChars="221"/>
        <w:rPr>
          <w:rFonts w:ascii="Times New Roman" w:hAnsi="Times New Roman" w:eastAsia="仿宋_GB2312" w:cs="Times New Roman"/>
          <w:sz w:val="32"/>
          <w:szCs w:val="32"/>
        </w:rPr>
      </w:pPr>
    </w:p>
    <w:p>
      <w:pPr>
        <w:adjustRightInd w:val="0"/>
        <w:snapToGrid w:val="0"/>
        <w:spacing w:line="360" w:lineRule="auto"/>
        <w:ind w:firstLine="279" w:firstLineChars="133"/>
        <w:rPr>
          <w:rFonts w:ascii="Times New Roman" w:hAnsi="Times New Roman" w:eastAsia="宋体" w:cs="Times New Roman"/>
          <w:szCs w:val="21"/>
        </w:rPr>
      </w:pPr>
      <w:r>
        <w:rPr>
          <w:rFonts w:hint="eastAsia" w:ascii="Times New Roman" w:hAnsi="Times New Roman" w:eastAsia="宋体" w:cs="Times New Roman"/>
          <w:szCs w:val="21"/>
        </w:rPr>
        <w:t>正文：</w:t>
      </w:r>
      <w:r>
        <w:rPr>
          <w:rFonts w:ascii="Times New Roman" w:hAnsi="Times New Roman" w:eastAsia="宋体" w:cs="Times New Roman"/>
          <w:szCs w:val="21"/>
        </w:rPr>
        <w:t>宋体（五号），英文及数字字体为Times New Roman，1.5倍行距</w:t>
      </w:r>
    </w:p>
    <w:p>
      <w:pPr>
        <w:adjustRightInd w:val="0"/>
        <w:snapToGrid w:val="0"/>
        <w:spacing w:line="360" w:lineRule="auto"/>
        <w:ind w:firstLine="279" w:firstLineChars="133"/>
        <w:rPr>
          <w:rFonts w:ascii="Times New Roman" w:hAnsi="Times New Roman" w:eastAsia="宋体" w:cs="Times New Roman"/>
          <w:szCs w:val="21"/>
        </w:rPr>
      </w:pPr>
    </w:p>
    <w:p>
      <w:pPr>
        <w:adjustRightInd w:val="0"/>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参考文献：</w:t>
      </w:r>
    </w:p>
    <w:p>
      <w:pPr>
        <w:adjustRightInd w:val="0"/>
        <w:snapToGrid w:val="0"/>
        <w:spacing w:line="360" w:lineRule="auto"/>
        <w:ind w:left="425" w:hanging="424" w:hangingChars="236"/>
        <w:rPr>
          <w:rFonts w:ascii="Times New Roman" w:hAnsi="Times New Roman"/>
          <w:bCs/>
          <w:sz w:val="18"/>
          <w:szCs w:val="18"/>
        </w:rPr>
      </w:pPr>
      <w:bookmarkStart w:id="0" w:name="_ENREF_22"/>
      <w:r>
        <w:rPr>
          <w:rFonts w:hint="eastAsia" w:ascii="Times New Roman" w:hAnsi="Times New Roman"/>
          <w:bCs/>
          <w:sz w:val="18"/>
          <w:szCs w:val="18"/>
        </w:rPr>
        <w:t xml:space="preserve">吉春龙, 田萌萌, 马继芳, 金海如. 2010. 丛枝菌根真菌对植物营养代谢与生长影响的研究进展. 浙江师范大学学报:自然科学版, </w:t>
      </w:r>
      <w:r>
        <w:rPr>
          <w:rFonts w:hint="eastAsia" w:ascii="Times New Roman" w:hAnsi="Times New Roman"/>
          <w:b/>
          <w:bCs/>
          <w:sz w:val="18"/>
          <w:szCs w:val="18"/>
        </w:rPr>
        <w:t>33</w:t>
      </w:r>
      <w:r>
        <w:rPr>
          <w:rFonts w:hint="eastAsia" w:ascii="Times New Roman" w:hAnsi="Times New Roman"/>
          <w:bCs/>
          <w:sz w:val="18"/>
          <w:szCs w:val="18"/>
        </w:rPr>
        <w:t>(3), 303-309.</w:t>
      </w:r>
      <w:bookmarkEnd w:id="0"/>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line="360" w:lineRule="auto"/>
        <w:rPr>
          <w:rFonts w:ascii="Times New Roman" w:hAnsi="Times New Roman" w:eastAsia="黑体" w:cs="Times New Roman"/>
          <w:b/>
          <w:szCs w:val="21"/>
        </w:rPr>
      </w:pPr>
      <w:r>
        <w:rPr>
          <w:rFonts w:ascii="Times New Roman" w:hAnsi="Times New Roman" w:eastAsia="黑体" w:cs="Times New Roman"/>
          <w:b/>
          <w:szCs w:val="21"/>
        </w:rPr>
        <w:t>附件</w:t>
      </w:r>
      <w:r>
        <w:rPr>
          <w:rFonts w:hint="eastAsia" w:ascii="Times New Roman" w:hAnsi="Times New Roman" w:eastAsia="黑体" w:cs="Times New Roman"/>
          <w:b/>
          <w:szCs w:val="21"/>
          <w:lang w:val="en-US" w:eastAsia="zh-CN"/>
        </w:rPr>
        <w:t>3</w:t>
      </w:r>
      <w:r>
        <w:rPr>
          <w:rFonts w:ascii="Times New Roman" w:hAnsi="Times New Roman" w:eastAsia="黑体" w:cs="Times New Roman"/>
          <w:b/>
          <w:szCs w:val="21"/>
        </w:rPr>
        <w:t>：</w:t>
      </w:r>
      <w:r>
        <w:rPr>
          <w:rFonts w:hint="eastAsia" w:ascii="Times New Roman" w:hAnsi="Times New Roman" w:eastAsia="黑体" w:cs="Times New Roman"/>
          <w:b/>
          <w:szCs w:val="21"/>
        </w:rPr>
        <w:t>竞赛</w:t>
      </w:r>
      <w:r>
        <w:rPr>
          <w:rFonts w:ascii="Times New Roman" w:hAnsi="Times New Roman" w:eastAsia="黑体" w:cs="Times New Roman"/>
          <w:b/>
          <w:szCs w:val="21"/>
        </w:rPr>
        <w:t>设计</w:t>
      </w:r>
      <w:r>
        <w:rPr>
          <w:rFonts w:hint="eastAsia" w:ascii="Times New Roman" w:hAnsi="Times New Roman" w:eastAsia="黑体" w:cs="Times New Roman"/>
          <w:b/>
          <w:szCs w:val="21"/>
        </w:rPr>
        <w:t>提纲及格式</w:t>
      </w:r>
    </w:p>
    <w:p>
      <w:pPr>
        <w:spacing w:line="360" w:lineRule="auto"/>
        <w:rPr>
          <w:rFonts w:ascii="Times New Roman" w:hAnsi="Times New Roman" w:eastAsia="黑体" w:cs="Times New Roman"/>
          <w:b/>
          <w:szCs w:val="21"/>
        </w:rPr>
      </w:pPr>
    </w:p>
    <w:p>
      <w:pPr>
        <w:spacing w:line="480" w:lineRule="auto"/>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题目（黑体三号）</w:t>
      </w:r>
    </w:p>
    <w:p>
      <w:pPr>
        <w:numPr>
          <w:ilvl w:val="0"/>
          <w:numId w:val="17"/>
        </w:numPr>
        <w:spacing w:line="360" w:lineRule="auto"/>
        <w:jc w:val="left"/>
        <w:rPr>
          <w:rFonts w:ascii="Times New Roman" w:hAnsi="Times New Roman" w:cs="Times New Roman"/>
          <w:b/>
          <w:bCs/>
          <w:szCs w:val="21"/>
        </w:rPr>
      </w:pPr>
      <w:r>
        <w:rPr>
          <w:rFonts w:ascii="Times New Roman" w:hAnsi="Times New Roman" w:eastAsia="黑体" w:cs="Times New Roman"/>
          <w:b/>
          <w:bCs/>
          <w:szCs w:val="21"/>
        </w:rPr>
        <w:t>项目研究目的及意义（黑体五号）</w:t>
      </w:r>
    </w:p>
    <w:p>
      <w:pPr>
        <w:spacing w:line="360" w:lineRule="auto"/>
        <w:jc w:val="left"/>
        <w:rPr>
          <w:rFonts w:ascii="Times New Roman" w:hAnsi="Times New Roman" w:cs="Times New Roman"/>
          <w:b/>
          <w:bCs/>
          <w:szCs w:val="21"/>
        </w:rPr>
      </w:pPr>
      <w:r>
        <w:rPr>
          <w:rFonts w:ascii="Times New Roman" w:hAnsi="Times New Roman" w:cs="Times New Roman"/>
          <w:b/>
          <w:bCs/>
          <w:szCs w:val="21"/>
        </w:rPr>
        <w:t>1.1 研究目的（宋体五号）</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宋体五号，1.5倍行距</w:t>
      </w:r>
    </w:p>
    <w:p>
      <w:pPr>
        <w:spacing w:line="360" w:lineRule="auto"/>
        <w:jc w:val="left"/>
        <w:rPr>
          <w:rFonts w:ascii="Times New Roman" w:hAnsi="Times New Roman" w:cs="Times New Roman"/>
          <w:b/>
          <w:bCs/>
          <w:szCs w:val="21"/>
        </w:rPr>
      </w:pPr>
      <w:r>
        <w:rPr>
          <w:rFonts w:ascii="Times New Roman" w:hAnsi="Times New Roman" w:cs="Times New Roman"/>
          <w:b/>
          <w:bCs/>
          <w:szCs w:val="21"/>
        </w:rPr>
        <w:t>1.2 研究意义</w:t>
      </w:r>
    </w:p>
    <w:p>
      <w:pPr>
        <w:numPr>
          <w:ilvl w:val="0"/>
          <w:numId w:val="17"/>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主要研究内容及创新点</w:t>
      </w:r>
    </w:p>
    <w:p>
      <w:pPr>
        <w:spacing w:line="360" w:lineRule="auto"/>
        <w:jc w:val="left"/>
        <w:rPr>
          <w:rFonts w:ascii="Times New Roman" w:hAnsi="Times New Roman" w:cs="Times New Roman"/>
          <w:b/>
          <w:bCs/>
          <w:szCs w:val="21"/>
        </w:rPr>
      </w:pPr>
      <w:r>
        <w:rPr>
          <w:rFonts w:ascii="Times New Roman" w:hAnsi="Times New Roman" w:cs="Times New Roman"/>
          <w:b/>
          <w:bCs/>
          <w:szCs w:val="21"/>
        </w:rPr>
        <w:t>2.1 主要内容</w:t>
      </w:r>
    </w:p>
    <w:p>
      <w:pPr>
        <w:spacing w:line="360" w:lineRule="auto"/>
        <w:jc w:val="left"/>
        <w:rPr>
          <w:rFonts w:ascii="Times New Roman" w:hAnsi="Times New Roman" w:cs="Times New Roman"/>
          <w:b/>
          <w:bCs/>
          <w:szCs w:val="21"/>
        </w:rPr>
      </w:pPr>
      <w:r>
        <w:rPr>
          <w:rFonts w:ascii="Times New Roman" w:hAnsi="Times New Roman" w:cs="Times New Roman"/>
          <w:b/>
          <w:bCs/>
          <w:szCs w:val="21"/>
        </w:rPr>
        <w:t>2.2 创新点</w:t>
      </w:r>
    </w:p>
    <w:p>
      <w:pPr>
        <w:numPr>
          <w:ilvl w:val="0"/>
          <w:numId w:val="17"/>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实验技术路线及实施方案</w:t>
      </w:r>
    </w:p>
    <w:p>
      <w:pPr>
        <w:spacing w:line="360" w:lineRule="auto"/>
        <w:jc w:val="left"/>
        <w:rPr>
          <w:rFonts w:ascii="Times New Roman" w:hAnsi="Times New Roman" w:cs="Times New Roman"/>
          <w:b/>
          <w:bCs/>
          <w:szCs w:val="21"/>
        </w:rPr>
      </w:pPr>
      <w:r>
        <w:rPr>
          <w:rFonts w:ascii="Times New Roman" w:hAnsi="Times New Roman" w:cs="Times New Roman"/>
          <w:b/>
          <w:bCs/>
          <w:szCs w:val="21"/>
        </w:rPr>
        <w:t>3.1 技术路线</w:t>
      </w:r>
    </w:p>
    <w:p>
      <w:pPr>
        <w:spacing w:line="360" w:lineRule="auto"/>
        <w:jc w:val="left"/>
        <w:rPr>
          <w:rFonts w:ascii="Times New Roman" w:hAnsi="Times New Roman" w:cs="Times New Roman"/>
          <w:b/>
          <w:bCs/>
          <w:szCs w:val="21"/>
        </w:rPr>
      </w:pPr>
      <w:r>
        <w:rPr>
          <w:rFonts w:ascii="Times New Roman" w:hAnsi="Times New Roman" w:cs="Times New Roman"/>
          <w:b/>
          <w:bCs/>
          <w:szCs w:val="21"/>
        </w:rPr>
        <w:t>3.2 实验方案</w:t>
      </w:r>
    </w:p>
    <w:p>
      <w:pPr>
        <w:numPr>
          <w:ilvl w:val="0"/>
          <w:numId w:val="17"/>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实验进度</w:t>
      </w:r>
    </w:p>
    <w:p>
      <w:pPr>
        <w:numPr>
          <w:ilvl w:val="0"/>
          <w:numId w:val="17"/>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预期成果</w:t>
      </w:r>
    </w:p>
    <w:p>
      <w:pPr>
        <w:spacing w:line="360"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line="360" w:lineRule="auto"/>
        <w:rPr>
          <w:rFonts w:ascii="Times New Roman" w:hAnsi="Times New Roman" w:eastAsia="黑体" w:cs="Times New Roman"/>
          <w:b/>
          <w:szCs w:val="21"/>
        </w:rPr>
      </w:pPr>
      <w:r>
        <w:rPr>
          <w:rFonts w:hint="eastAsia" w:ascii="Times New Roman" w:hAnsi="Times New Roman" w:eastAsia="黑体" w:cs="Times New Roman"/>
          <w:b/>
          <w:szCs w:val="21"/>
        </w:rPr>
        <w:t>附件</w:t>
      </w:r>
      <w:r>
        <w:rPr>
          <w:rFonts w:hint="eastAsia" w:ascii="Times New Roman" w:hAnsi="Times New Roman" w:eastAsia="黑体" w:cs="Times New Roman"/>
          <w:b/>
          <w:szCs w:val="21"/>
          <w:lang w:val="en-US" w:eastAsia="zh-CN"/>
        </w:rPr>
        <w:t>4</w:t>
      </w:r>
      <w:r>
        <w:rPr>
          <w:rFonts w:hint="eastAsia" w:ascii="Times New Roman" w:hAnsi="Times New Roman" w:eastAsia="黑体" w:cs="Times New Roman"/>
          <w:b/>
          <w:szCs w:val="21"/>
        </w:rPr>
        <w:t>：论文（报告）封面</w:t>
      </w:r>
    </w:p>
    <w:p>
      <w:pPr>
        <w:adjustRightInd w:val="0"/>
        <w:snapToGrid w:val="0"/>
        <w:jc w:val="center"/>
        <w:rPr>
          <w:rFonts w:ascii="黑体" w:hAnsi="黑体" w:eastAsia="黑体" w:cs="黑体"/>
          <w:sz w:val="44"/>
          <w:szCs w:val="44"/>
        </w:rPr>
      </w:pPr>
      <w:r>
        <w:rPr>
          <w:rFonts w:hint="eastAsia" w:ascii="黑体" w:hAnsi="黑体" w:eastAsia="黑体" w:cs="黑体"/>
          <w:sz w:val="44"/>
          <w:szCs w:val="44"/>
        </w:rPr>
        <w:t>浙江省大学生环境生态科技创新大赛</w:t>
      </w:r>
    </w:p>
    <w:p>
      <w:pPr>
        <w:adjustRightInd w:val="0"/>
        <w:snapToGrid w:val="0"/>
        <w:jc w:val="center"/>
        <w:rPr>
          <w:rFonts w:ascii="方正小标宋简体" w:hAnsi="华文中宋" w:eastAsia="方正小标宋简体"/>
          <w:sz w:val="44"/>
          <w:szCs w:val="44"/>
        </w:rPr>
      </w:pPr>
      <w:r>
        <w:rPr>
          <w:rFonts w:hint="eastAsia" w:ascii="黑体" w:hAnsi="黑体" w:eastAsia="黑体" w:cs="黑体"/>
          <w:sz w:val="44"/>
          <w:szCs w:val="44"/>
        </w:rPr>
        <w:t>论文（报告）</w:t>
      </w:r>
    </w:p>
    <w:p>
      <w:pPr>
        <w:spacing w:line="336" w:lineRule="auto"/>
        <w:rPr>
          <w:rFonts w:eastAsia="仿宋_GB2312"/>
          <w:bCs/>
          <w:sz w:val="32"/>
          <w:szCs w:val="32"/>
        </w:rPr>
      </w:pPr>
    </w:p>
    <w:p>
      <w:pPr>
        <w:spacing w:line="336" w:lineRule="auto"/>
        <w:rPr>
          <w:rFonts w:eastAsia="仿宋_GB2312"/>
          <w:bCs/>
          <w:sz w:val="32"/>
          <w:szCs w:val="32"/>
        </w:rPr>
      </w:pPr>
    </w:p>
    <w:p>
      <w:pPr>
        <w:spacing w:line="336" w:lineRule="auto"/>
        <w:rPr>
          <w:rFonts w:eastAsia="仿宋_GB2312"/>
          <w:bCs/>
          <w:sz w:val="32"/>
          <w:szCs w:val="32"/>
        </w:rPr>
      </w:pPr>
    </w:p>
    <w:p>
      <w:pPr>
        <w:spacing w:line="336" w:lineRule="auto"/>
        <w:rPr>
          <w:rFonts w:eastAsia="仿宋_GB2312"/>
          <w:bCs/>
          <w:sz w:val="32"/>
          <w:szCs w:val="32"/>
        </w:rPr>
      </w:pPr>
    </w:p>
    <w:p>
      <w:pPr>
        <w:spacing w:line="336" w:lineRule="auto"/>
        <w:rPr>
          <w:rFonts w:eastAsia="仿宋_GB2312"/>
          <w:bCs/>
          <w:sz w:val="32"/>
          <w:szCs w:val="32"/>
        </w:rPr>
      </w:pPr>
    </w:p>
    <w:p>
      <w:pPr>
        <w:spacing w:line="336" w:lineRule="auto"/>
        <w:rPr>
          <w:rFonts w:eastAsia="仿宋_GB2312"/>
          <w:bCs/>
          <w:sz w:val="32"/>
          <w:szCs w:val="32"/>
        </w:rPr>
      </w:pPr>
    </w:p>
    <w:tbl>
      <w:tblPr>
        <w:tblStyle w:val="11"/>
        <w:tblW w:w="6570" w:type="dxa"/>
        <w:jc w:val="center"/>
        <w:tblLayout w:type="fixed"/>
        <w:tblCellMar>
          <w:top w:w="0" w:type="dxa"/>
          <w:left w:w="108" w:type="dxa"/>
          <w:bottom w:w="0" w:type="dxa"/>
          <w:right w:w="108" w:type="dxa"/>
        </w:tblCellMar>
      </w:tblPr>
      <w:tblGrid>
        <w:gridCol w:w="2681"/>
        <w:gridCol w:w="3889"/>
      </w:tblGrid>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sz w:val="28"/>
              </w:rPr>
              <w:t>作品名称：</w:t>
            </w:r>
          </w:p>
        </w:tc>
        <w:tc>
          <w:tcPr>
            <w:tcW w:w="3889" w:type="dxa"/>
            <w:tcBorders>
              <w:left w:val="nil"/>
              <w:bottom w:val="single" w:color="auto" w:sz="4" w:space="0"/>
              <w:right w:val="nil"/>
            </w:tcBorders>
          </w:tcPr>
          <w:p>
            <w:pPr>
              <w:spacing w:line="336" w:lineRule="auto"/>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p>
        </w:tc>
        <w:tc>
          <w:tcPr>
            <w:tcW w:w="3889" w:type="dxa"/>
            <w:tcBorders>
              <w:top w:val="single" w:color="auto" w:sz="4" w:space="0"/>
              <w:left w:val="nil"/>
              <w:bottom w:val="single" w:color="auto" w:sz="4" w:space="0"/>
              <w:right w:val="nil"/>
            </w:tcBorders>
          </w:tcPr>
          <w:p>
            <w:pPr>
              <w:spacing w:line="336" w:lineRule="auto"/>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hint="eastAsia" w:eastAsia="仿宋_GB2312"/>
                <w:sz w:val="28"/>
                <w:lang w:val="en-US" w:eastAsia="zh-CN"/>
              </w:rPr>
            </w:pPr>
            <w:r>
              <w:rPr>
                <w:rFonts w:hint="eastAsia" w:eastAsia="仿宋_GB2312"/>
                <w:sz w:val="28"/>
                <w:lang w:val="en-US" w:eastAsia="zh-CN"/>
              </w:rPr>
              <w:t>赛道类型：</w:t>
            </w:r>
          </w:p>
        </w:tc>
        <w:tc>
          <w:tcPr>
            <w:tcW w:w="3889" w:type="dxa"/>
            <w:tcBorders>
              <w:top w:val="single" w:color="auto" w:sz="4" w:space="0"/>
              <w:left w:val="nil"/>
              <w:bottom w:val="single" w:color="auto" w:sz="4" w:space="0"/>
              <w:right w:val="nil"/>
            </w:tcBorders>
          </w:tcPr>
          <w:p>
            <w:pPr>
              <w:pStyle w:val="23"/>
              <w:numPr>
                <w:ilvl w:val="0"/>
                <w:numId w:val="18"/>
              </w:numPr>
              <w:spacing w:line="336" w:lineRule="auto"/>
              <w:ind w:firstLineChars="0"/>
              <w:jc w:val="center"/>
              <w:rPr>
                <w:rFonts w:hint="eastAsia" w:eastAsia="仿宋_GB2312"/>
                <w:bCs/>
                <w:sz w:val="32"/>
                <w:szCs w:val="32"/>
              </w:rPr>
            </w:pPr>
            <w:r>
              <w:rPr>
                <w:rFonts w:hint="eastAsia" w:eastAsia="仿宋_GB2312"/>
                <w:bCs/>
                <w:sz w:val="32"/>
                <w:szCs w:val="32"/>
                <w:lang w:val="en-US" w:eastAsia="zh-CN"/>
              </w:rPr>
              <w:t>自主赛道</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hint="eastAsia" w:eastAsia="仿宋_GB2312"/>
                <w:sz w:val="28"/>
              </w:rPr>
            </w:pPr>
          </w:p>
        </w:tc>
        <w:tc>
          <w:tcPr>
            <w:tcW w:w="3889" w:type="dxa"/>
            <w:tcBorders>
              <w:top w:val="single" w:color="auto" w:sz="4" w:space="0"/>
              <w:left w:val="nil"/>
              <w:bottom w:val="single" w:color="auto" w:sz="4" w:space="0"/>
              <w:right w:val="nil"/>
            </w:tcBorders>
          </w:tcPr>
          <w:p>
            <w:pPr>
              <w:pStyle w:val="23"/>
              <w:numPr>
                <w:ilvl w:val="0"/>
                <w:numId w:val="18"/>
              </w:numPr>
              <w:spacing w:line="336" w:lineRule="auto"/>
              <w:ind w:firstLineChars="0"/>
              <w:jc w:val="center"/>
              <w:rPr>
                <w:rFonts w:hint="eastAsia" w:eastAsia="仿宋_GB2312"/>
                <w:bCs/>
                <w:sz w:val="32"/>
                <w:szCs w:val="32"/>
              </w:rPr>
            </w:pPr>
            <w:r>
              <w:rPr>
                <w:rFonts w:hint="eastAsia" w:eastAsia="仿宋_GB2312"/>
                <w:bCs/>
                <w:sz w:val="32"/>
                <w:szCs w:val="32"/>
                <w:lang w:val="en-US" w:eastAsia="zh-CN"/>
              </w:rPr>
              <w:t>需求赛道</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sz w:val="28"/>
              </w:rPr>
              <w:t>参赛类型：</w:t>
            </w:r>
          </w:p>
        </w:tc>
        <w:tc>
          <w:tcPr>
            <w:tcW w:w="3889" w:type="dxa"/>
            <w:tcBorders>
              <w:top w:val="single" w:color="auto" w:sz="4" w:space="0"/>
              <w:left w:val="nil"/>
              <w:bottom w:val="single" w:color="auto" w:sz="4" w:space="0"/>
              <w:right w:val="nil"/>
            </w:tcBorders>
          </w:tcPr>
          <w:p>
            <w:pPr>
              <w:pStyle w:val="23"/>
              <w:numPr>
                <w:ilvl w:val="0"/>
                <w:numId w:val="18"/>
              </w:numPr>
              <w:spacing w:line="336" w:lineRule="auto"/>
              <w:ind w:firstLineChars="0"/>
              <w:jc w:val="center"/>
              <w:rPr>
                <w:rFonts w:eastAsia="仿宋_GB2312"/>
                <w:bCs/>
                <w:sz w:val="32"/>
                <w:szCs w:val="32"/>
              </w:rPr>
            </w:pPr>
            <w:r>
              <w:rPr>
                <w:rFonts w:hint="eastAsia" w:eastAsia="仿宋_GB2312"/>
                <w:bCs/>
                <w:sz w:val="32"/>
                <w:szCs w:val="32"/>
              </w:rPr>
              <w:t>科技实验作品</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p>
        </w:tc>
        <w:tc>
          <w:tcPr>
            <w:tcW w:w="3889" w:type="dxa"/>
            <w:tcBorders>
              <w:top w:val="single" w:color="auto" w:sz="4" w:space="0"/>
              <w:left w:val="nil"/>
              <w:bottom w:val="single" w:color="auto" w:sz="4" w:space="0"/>
              <w:right w:val="nil"/>
            </w:tcBorders>
          </w:tcPr>
          <w:p>
            <w:pPr>
              <w:pStyle w:val="23"/>
              <w:numPr>
                <w:ilvl w:val="0"/>
                <w:numId w:val="18"/>
              </w:numPr>
              <w:spacing w:line="336" w:lineRule="auto"/>
              <w:ind w:firstLineChars="0"/>
              <w:jc w:val="center"/>
              <w:rPr>
                <w:rFonts w:eastAsia="仿宋_GB2312"/>
                <w:bCs/>
                <w:sz w:val="32"/>
                <w:szCs w:val="32"/>
              </w:rPr>
            </w:pPr>
            <w:r>
              <w:rPr>
                <w:rFonts w:ascii="Times New Roman" w:hAnsi="Times New Roman" w:eastAsia="仿宋_GB2312" w:cs="Times New Roman"/>
                <w:sz w:val="32"/>
                <w:szCs w:val="32"/>
              </w:rPr>
              <w:t>科技理念作品</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p>
        </w:tc>
        <w:tc>
          <w:tcPr>
            <w:tcW w:w="3889" w:type="dxa"/>
            <w:tcBorders>
              <w:top w:val="single" w:color="auto" w:sz="4" w:space="0"/>
              <w:left w:val="nil"/>
              <w:bottom w:val="single" w:color="auto" w:sz="4" w:space="0"/>
              <w:right w:val="nil"/>
            </w:tcBorders>
          </w:tcPr>
          <w:p>
            <w:pPr>
              <w:pStyle w:val="23"/>
              <w:numPr>
                <w:ilvl w:val="0"/>
                <w:numId w:val="18"/>
              </w:numPr>
              <w:spacing w:line="336" w:lineRule="auto"/>
              <w:ind w:firstLineChars="0"/>
              <w:jc w:val="center"/>
              <w:rPr>
                <w:rFonts w:eastAsia="仿宋_GB2312"/>
                <w:bCs/>
                <w:sz w:val="32"/>
                <w:szCs w:val="32"/>
              </w:rPr>
            </w:pPr>
            <w:r>
              <w:rPr>
                <w:rFonts w:ascii="Times New Roman" w:hAnsi="Times New Roman" w:eastAsia="仿宋_GB2312" w:cs="Times New Roman"/>
                <w:sz w:val="32"/>
                <w:szCs w:val="32"/>
              </w:rPr>
              <w:t>科技实物作品</w:t>
            </w:r>
          </w:p>
        </w:tc>
      </w:tr>
    </w:tbl>
    <w:p>
      <w:pPr>
        <w:spacing w:line="336" w:lineRule="auto"/>
        <w:rPr>
          <w:rFonts w:eastAsia="仿宋_GB2312"/>
          <w:bCs/>
          <w:sz w:val="36"/>
          <w:szCs w:val="36"/>
        </w:rPr>
      </w:pPr>
    </w:p>
    <w:p>
      <w:pPr>
        <w:snapToGrid w:val="0"/>
        <w:jc w:val="center"/>
        <w:rPr>
          <w:rFonts w:ascii="黑体" w:eastAsia="黑体"/>
          <w:spacing w:val="20"/>
          <w:sz w:val="32"/>
          <w:szCs w:val="32"/>
        </w:rPr>
      </w:pPr>
    </w:p>
    <w:p>
      <w:pPr>
        <w:snapToGrid w:val="0"/>
        <w:jc w:val="center"/>
        <w:rPr>
          <w:rFonts w:ascii="黑体" w:eastAsia="黑体"/>
          <w:spacing w:val="20"/>
          <w:sz w:val="32"/>
          <w:szCs w:val="32"/>
        </w:rPr>
      </w:pPr>
    </w:p>
    <w:p>
      <w:pPr>
        <w:snapToGrid w:val="0"/>
        <w:jc w:val="center"/>
        <w:rPr>
          <w:rFonts w:ascii="黑体" w:eastAsia="黑体"/>
          <w:spacing w:val="20"/>
          <w:sz w:val="32"/>
          <w:szCs w:val="32"/>
        </w:rPr>
      </w:pPr>
    </w:p>
    <w:p>
      <w:pPr>
        <w:snapToGrid w:val="0"/>
        <w:jc w:val="center"/>
        <w:rPr>
          <w:rFonts w:ascii="黑体" w:eastAsia="黑体"/>
          <w:spacing w:val="20"/>
          <w:sz w:val="32"/>
          <w:szCs w:val="32"/>
        </w:rPr>
      </w:pPr>
    </w:p>
    <w:p>
      <w:pPr>
        <w:snapToGrid w:val="0"/>
        <w:jc w:val="center"/>
        <w:rPr>
          <w:rFonts w:ascii="黑体" w:eastAsia="黑体"/>
          <w:spacing w:val="20"/>
          <w:sz w:val="24"/>
          <w:szCs w:val="24"/>
        </w:rPr>
      </w:pPr>
    </w:p>
    <w:p>
      <w:pPr>
        <w:snapToGrid w:val="0"/>
        <w:jc w:val="center"/>
        <w:rPr>
          <w:rFonts w:ascii="黑体" w:eastAsia="黑体"/>
          <w:spacing w:val="20"/>
          <w:sz w:val="24"/>
          <w:szCs w:val="24"/>
        </w:rPr>
      </w:pPr>
      <w:r>
        <w:rPr>
          <w:rFonts w:hint="eastAsia" w:ascii="黑体" w:eastAsia="黑体"/>
          <w:spacing w:val="20"/>
          <w:sz w:val="24"/>
          <w:szCs w:val="24"/>
        </w:rPr>
        <w:t>浙江省大学生环境生态科技创新大赛委员会 制</w:t>
      </w:r>
    </w:p>
    <w:p>
      <w:pPr>
        <w:spacing w:line="360" w:lineRule="auto"/>
        <w:jc w:val="center"/>
        <w:rPr>
          <w:rFonts w:ascii="黑体" w:eastAsia="黑体"/>
          <w:sz w:val="24"/>
          <w:szCs w:val="24"/>
        </w:rPr>
      </w:pPr>
      <w:r>
        <w:rPr>
          <w:rFonts w:hint="eastAsia" w:ascii="黑体" w:eastAsia="黑体"/>
          <w:sz w:val="24"/>
          <w:szCs w:val="24"/>
        </w:rPr>
        <w:t>二○二二年四月</w:t>
      </w:r>
    </w:p>
    <w:p>
      <w:pPr>
        <w:spacing w:line="360" w:lineRule="auto"/>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232074"/>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5B10"/>
    <w:multiLevelType w:val="multilevel"/>
    <w:tmpl w:val="0AE35B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9EC3406"/>
    <w:multiLevelType w:val="multilevel"/>
    <w:tmpl w:val="19EC34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113108D"/>
    <w:multiLevelType w:val="multilevel"/>
    <w:tmpl w:val="2113108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35E7E2E"/>
    <w:multiLevelType w:val="multilevel"/>
    <w:tmpl w:val="235E7E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6B05AC0"/>
    <w:multiLevelType w:val="multilevel"/>
    <w:tmpl w:val="26B05A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EB813CF"/>
    <w:multiLevelType w:val="multilevel"/>
    <w:tmpl w:val="2EB813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F0A57DB"/>
    <w:multiLevelType w:val="multilevel"/>
    <w:tmpl w:val="2F0A57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51474CB"/>
    <w:multiLevelType w:val="multilevel"/>
    <w:tmpl w:val="351474CB"/>
    <w:lvl w:ilvl="0" w:tentative="0">
      <w:start w:val="1"/>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510C6CB5"/>
    <w:multiLevelType w:val="multilevel"/>
    <w:tmpl w:val="510C6CB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12A086F"/>
    <w:multiLevelType w:val="multilevel"/>
    <w:tmpl w:val="512A086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55743BB8"/>
    <w:multiLevelType w:val="singleLevel"/>
    <w:tmpl w:val="55743BB8"/>
    <w:lvl w:ilvl="0" w:tentative="0">
      <w:start w:val="1"/>
      <w:numFmt w:val="decimal"/>
      <w:suff w:val="space"/>
      <w:lvlText w:val="%1."/>
      <w:lvlJc w:val="left"/>
    </w:lvl>
  </w:abstractNum>
  <w:abstractNum w:abstractNumId="13">
    <w:nsid w:val="589D41E3"/>
    <w:multiLevelType w:val="multilevel"/>
    <w:tmpl w:val="589D41E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5FA61D29"/>
    <w:multiLevelType w:val="multilevel"/>
    <w:tmpl w:val="5FA61D2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22874B1"/>
    <w:multiLevelType w:val="multilevel"/>
    <w:tmpl w:val="622874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71825E07"/>
    <w:multiLevelType w:val="multilevel"/>
    <w:tmpl w:val="71825E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5494446"/>
    <w:multiLevelType w:val="multilevel"/>
    <w:tmpl w:val="7549444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9"/>
  </w:num>
  <w:num w:numId="2">
    <w:abstractNumId w:val="1"/>
  </w:num>
  <w:num w:numId="3">
    <w:abstractNumId w:val="7"/>
  </w:num>
  <w:num w:numId="4">
    <w:abstractNumId w:val="2"/>
  </w:num>
  <w:num w:numId="5">
    <w:abstractNumId w:val="0"/>
  </w:num>
  <w:num w:numId="6">
    <w:abstractNumId w:val="13"/>
  </w:num>
  <w:num w:numId="7">
    <w:abstractNumId w:val="4"/>
  </w:num>
  <w:num w:numId="8">
    <w:abstractNumId w:val="5"/>
  </w:num>
  <w:num w:numId="9">
    <w:abstractNumId w:val="15"/>
  </w:num>
  <w:num w:numId="10">
    <w:abstractNumId w:val="17"/>
  </w:num>
  <w:num w:numId="11">
    <w:abstractNumId w:val="14"/>
  </w:num>
  <w:num w:numId="12">
    <w:abstractNumId w:val="10"/>
  </w:num>
  <w:num w:numId="13">
    <w:abstractNumId w:val="3"/>
  </w:num>
  <w:num w:numId="14">
    <w:abstractNumId w:val="16"/>
  </w:num>
  <w:num w:numId="15">
    <w:abstractNumId w:val="11"/>
  </w:num>
  <w:num w:numId="16">
    <w:abstractNumId w:val="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WJkYWM3OWExYTU4YjNiMzEyMzM5NzNmYzAyZDAifQ=="/>
  </w:docVars>
  <w:rsids>
    <w:rsidRoot w:val="00383423"/>
    <w:rsid w:val="000060B8"/>
    <w:rsid w:val="00045C2A"/>
    <w:rsid w:val="00055D32"/>
    <w:rsid w:val="00066B22"/>
    <w:rsid w:val="00083943"/>
    <w:rsid w:val="000868D5"/>
    <w:rsid w:val="000A650D"/>
    <w:rsid w:val="000B72DB"/>
    <w:rsid w:val="000E2AA4"/>
    <w:rsid w:val="00101765"/>
    <w:rsid w:val="00123EC6"/>
    <w:rsid w:val="0016597B"/>
    <w:rsid w:val="00171393"/>
    <w:rsid w:val="001A2F95"/>
    <w:rsid w:val="001C1ED3"/>
    <w:rsid w:val="001D76FF"/>
    <w:rsid w:val="001E5BC9"/>
    <w:rsid w:val="0020316C"/>
    <w:rsid w:val="002235A5"/>
    <w:rsid w:val="0022501E"/>
    <w:rsid w:val="002911DE"/>
    <w:rsid w:val="002A0CB6"/>
    <w:rsid w:val="002A21EC"/>
    <w:rsid w:val="002A2B54"/>
    <w:rsid w:val="002A2BA5"/>
    <w:rsid w:val="002A701F"/>
    <w:rsid w:val="002B777A"/>
    <w:rsid w:val="002F0802"/>
    <w:rsid w:val="002F2D41"/>
    <w:rsid w:val="002F34EB"/>
    <w:rsid w:val="0031379E"/>
    <w:rsid w:val="003323AC"/>
    <w:rsid w:val="00350EEC"/>
    <w:rsid w:val="00377194"/>
    <w:rsid w:val="00383423"/>
    <w:rsid w:val="003A1CF2"/>
    <w:rsid w:val="003B0711"/>
    <w:rsid w:val="003C2114"/>
    <w:rsid w:val="003D66CE"/>
    <w:rsid w:val="003E2BF8"/>
    <w:rsid w:val="003E6AC6"/>
    <w:rsid w:val="004151FA"/>
    <w:rsid w:val="00426A7D"/>
    <w:rsid w:val="004319C7"/>
    <w:rsid w:val="00437E0B"/>
    <w:rsid w:val="00442FBA"/>
    <w:rsid w:val="00443EA2"/>
    <w:rsid w:val="004557D4"/>
    <w:rsid w:val="0047511F"/>
    <w:rsid w:val="004F7746"/>
    <w:rsid w:val="00511087"/>
    <w:rsid w:val="00514733"/>
    <w:rsid w:val="00515309"/>
    <w:rsid w:val="00515D89"/>
    <w:rsid w:val="00541915"/>
    <w:rsid w:val="00545399"/>
    <w:rsid w:val="005702DA"/>
    <w:rsid w:val="00571B1C"/>
    <w:rsid w:val="00577D15"/>
    <w:rsid w:val="0059491E"/>
    <w:rsid w:val="005A25E8"/>
    <w:rsid w:val="005C4F63"/>
    <w:rsid w:val="005E2321"/>
    <w:rsid w:val="005E62D0"/>
    <w:rsid w:val="00610825"/>
    <w:rsid w:val="00611778"/>
    <w:rsid w:val="0061316B"/>
    <w:rsid w:val="006256FC"/>
    <w:rsid w:val="006428B7"/>
    <w:rsid w:val="00656455"/>
    <w:rsid w:val="0066397C"/>
    <w:rsid w:val="00677A1C"/>
    <w:rsid w:val="006A360E"/>
    <w:rsid w:val="006B3A1E"/>
    <w:rsid w:val="006D1601"/>
    <w:rsid w:val="006E1F92"/>
    <w:rsid w:val="00710503"/>
    <w:rsid w:val="00723D87"/>
    <w:rsid w:val="007661BF"/>
    <w:rsid w:val="007676C2"/>
    <w:rsid w:val="007A71EF"/>
    <w:rsid w:val="007C277B"/>
    <w:rsid w:val="007C64EA"/>
    <w:rsid w:val="007F15E0"/>
    <w:rsid w:val="007F1AFC"/>
    <w:rsid w:val="007F320F"/>
    <w:rsid w:val="00801ABC"/>
    <w:rsid w:val="00803E9E"/>
    <w:rsid w:val="00810949"/>
    <w:rsid w:val="00854E49"/>
    <w:rsid w:val="008610AC"/>
    <w:rsid w:val="008666EC"/>
    <w:rsid w:val="008869E2"/>
    <w:rsid w:val="008944EA"/>
    <w:rsid w:val="008A235F"/>
    <w:rsid w:val="008B3EA6"/>
    <w:rsid w:val="008B559B"/>
    <w:rsid w:val="008D3750"/>
    <w:rsid w:val="008E04CD"/>
    <w:rsid w:val="008E4BA9"/>
    <w:rsid w:val="0090484A"/>
    <w:rsid w:val="009324CC"/>
    <w:rsid w:val="009471B7"/>
    <w:rsid w:val="009502BD"/>
    <w:rsid w:val="0097362B"/>
    <w:rsid w:val="00982225"/>
    <w:rsid w:val="00994E00"/>
    <w:rsid w:val="009B3962"/>
    <w:rsid w:val="009C262E"/>
    <w:rsid w:val="009C314F"/>
    <w:rsid w:val="00A13637"/>
    <w:rsid w:val="00A211E6"/>
    <w:rsid w:val="00A24BC2"/>
    <w:rsid w:val="00A44C0F"/>
    <w:rsid w:val="00A53E24"/>
    <w:rsid w:val="00A756C2"/>
    <w:rsid w:val="00A764F8"/>
    <w:rsid w:val="00AC470C"/>
    <w:rsid w:val="00AE6139"/>
    <w:rsid w:val="00AF1A63"/>
    <w:rsid w:val="00B50AD7"/>
    <w:rsid w:val="00B543B0"/>
    <w:rsid w:val="00B569B8"/>
    <w:rsid w:val="00B60906"/>
    <w:rsid w:val="00B86DB1"/>
    <w:rsid w:val="00B91FFE"/>
    <w:rsid w:val="00BA6CF5"/>
    <w:rsid w:val="00BB2E67"/>
    <w:rsid w:val="00BC3D1D"/>
    <w:rsid w:val="00C06697"/>
    <w:rsid w:val="00C16A19"/>
    <w:rsid w:val="00C23F4A"/>
    <w:rsid w:val="00C2468D"/>
    <w:rsid w:val="00C67DF4"/>
    <w:rsid w:val="00C77B65"/>
    <w:rsid w:val="00C83BA5"/>
    <w:rsid w:val="00CA037B"/>
    <w:rsid w:val="00CC13A3"/>
    <w:rsid w:val="00CC4486"/>
    <w:rsid w:val="00CD6348"/>
    <w:rsid w:val="00CE6F65"/>
    <w:rsid w:val="00D00535"/>
    <w:rsid w:val="00D15881"/>
    <w:rsid w:val="00D16941"/>
    <w:rsid w:val="00D2276F"/>
    <w:rsid w:val="00D27AED"/>
    <w:rsid w:val="00D60C2C"/>
    <w:rsid w:val="00D65D4E"/>
    <w:rsid w:val="00D972B1"/>
    <w:rsid w:val="00DB4291"/>
    <w:rsid w:val="00DC10B1"/>
    <w:rsid w:val="00DE0627"/>
    <w:rsid w:val="00DE3377"/>
    <w:rsid w:val="00DF3386"/>
    <w:rsid w:val="00DF41CE"/>
    <w:rsid w:val="00E00419"/>
    <w:rsid w:val="00E02B66"/>
    <w:rsid w:val="00E241CD"/>
    <w:rsid w:val="00E34588"/>
    <w:rsid w:val="00E8308F"/>
    <w:rsid w:val="00EA25C6"/>
    <w:rsid w:val="00EB12EB"/>
    <w:rsid w:val="00F036D5"/>
    <w:rsid w:val="00F10F82"/>
    <w:rsid w:val="00F16BEB"/>
    <w:rsid w:val="00F2001D"/>
    <w:rsid w:val="00F21FB6"/>
    <w:rsid w:val="00F33F24"/>
    <w:rsid w:val="00F72D52"/>
    <w:rsid w:val="00F83D0F"/>
    <w:rsid w:val="00FA1C43"/>
    <w:rsid w:val="00FA59A1"/>
    <w:rsid w:val="00FE698D"/>
    <w:rsid w:val="06600413"/>
    <w:rsid w:val="082843A2"/>
    <w:rsid w:val="0ABD2836"/>
    <w:rsid w:val="0D214987"/>
    <w:rsid w:val="0E8F287B"/>
    <w:rsid w:val="0EA84022"/>
    <w:rsid w:val="0EC547AC"/>
    <w:rsid w:val="1102284D"/>
    <w:rsid w:val="11DD6E68"/>
    <w:rsid w:val="14BD5864"/>
    <w:rsid w:val="153942A0"/>
    <w:rsid w:val="16404216"/>
    <w:rsid w:val="18C22BF7"/>
    <w:rsid w:val="1A18361C"/>
    <w:rsid w:val="1C661688"/>
    <w:rsid w:val="1C8C3E81"/>
    <w:rsid w:val="1D302AEE"/>
    <w:rsid w:val="1DA44BB2"/>
    <w:rsid w:val="1DC444F7"/>
    <w:rsid w:val="1E741F9E"/>
    <w:rsid w:val="1FBE4F5F"/>
    <w:rsid w:val="20240ED2"/>
    <w:rsid w:val="215F6BAA"/>
    <w:rsid w:val="240C4549"/>
    <w:rsid w:val="247936CC"/>
    <w:rsid w:val="265E4D7E"/>
    <w:rsid w:val="26D7613C"/>
    <w:rsid w:val="29D51DC3"/>
    <w:rsid w:val="2AB73D16"/>
    <w:rsid w:val="2B3A4F1D"/>
    <w:rsid w:val="2B930F55"/>
    <w:rsid w:val="2BDC4481"/>
    <w:rsid w:val="2BEA0858"/>
    <w:rsid w:val="2BFE60D3"/>
    <w:rsid w:val="2D0268A9"/>
    <w:rsid w:val="2D834176"/>
    <w:rsid w:val="2E2E048F"/>
    <w:rsid w:val="32B65909"/>
    <w:rsid w:val="33056A06"/>
    <w:rsid w:val="35DB73FD"/>
    <w:rsid w:val="36BB5015"/>
    <w:rsid w:val="38227638"/>
    <w:rsid w:val="3ABD1396"/>
    <w:rsid w:val="3EFB2E18"/>
    <w:rsid w:val="42A414A6"/>
    <w:rsid w:val="434425DE"/>
    <w:rsid w:val="44BA7226"/>
    <w:rsid w:val="46C73226"/>
    <w:rsid w:val="4A851D59"/>
    <w:rsid w:val="4BC600AD"/>
    <w:rsid w:val="4BD3241B"/>
    <w:rsid w:val="4BDA4471"/>
    <w:rsid w:val="4C416153"/>
    <w:rsid w:val="50742B20"/>
    <w:rsid w:val="528E11C9"/>
    <w:rsid w:val="554B5AE5"/>
    <w:rsid w:val="57FF15EF"/>
    <w:rsid w:val="58680143"/>
    <w:rsid w:val="588A68D3"/>
    <w:rsid w:val="589D3AB4"/>
    <w:rsid w:val="596A4A33"/>
    <w:rsid w:val="59EA1613"/>
    <w:rsid w:val="5A3579DC"/>
    <w:rsid w:val="5A7814D0"/>
    <w:rsid w:val="5CDD3EE0"/>
    <w:rsid w:val="5D627BDB"/>
    <w:rsid w:val="5F813F87"/>
    <w:rsid w:val="6036660D"/>
    <w:rsid w:val="60E95EFE"/>
    <w:rsid w:val="61C5055D"/>
    <w:rsid w:val="6306012C"/>
    <w:rsid w:val="63621E83"/>
    <w:rsid w:val="68511CA7"/>
    <w:rsid w:val="697438A9"/>
    <w:rsid w:val="69FF110F"/>
    <w:rsid w:val="6AD4631B"/>
    <w:rsid w:val="6BC41BFC"/>
    <w:rsid w:val="6C86245E"/>
    <w:rsid w:val="6D4028F8"/>
    <w:rsid w:val="743305F0"/>
    <w:rsid w:val="74C86748"/>
    <w:rsid w:val="7653184E"/>
    <w:rsid w:val="775F423F"/>
    <w:rsid w:val="79CE1A0A"/>
    <w:rsid w:val="7A186009"/>
    <w:rsid w:val="7A660812"/>
    <w:rsid w:val="7A907273"/>
    <w:rsid w:val="7BC61DE9"/>
    <w:rsid w:val="7C3E7C78"/>
    <w:rsid w:val="7EC93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numPr>
        <w:ilvl w:val="0"/>
        <w:numId w:val="1"/>
      </w:numPr>
      <w:spacing w:before="100" w:beforeAutospacing="1" w:after="100" w:afterAutospacing="1" w:line="480" w:lineRule="auto"/>
      <w:ind w:left="0" w:firstLine="0"/>
      <w:jc w:val="center"/>
      <w:outlineLvl w:val="0"/>
    </w:pPr>
    <w:rPr>
      <w:rFonts w:ascii="Times New Roman" w:hAnsi="Times New Roman" w:eastAsia="宋体" w:cstheme="minorBidi"/>
      <w:b/>
      <w:bCs/>
      <w:kern w:val="44"/>
      <w:sz w:val="28"/>
      <w:szCs w:val="4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ody Text"/>
    <w:basedOn w:val="1"/>
    <w:unhideWhenUsed/>
    <w:qFormat/>
    <w:uiPriority w:val="1"/>
    <w:rPr>
      <w:rFonts w:hint="eastAsia"/>
      <w:sz w:val="32"/>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19"/>
    <w:unhideWhenUsed/>
    <w:qFormat/>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文字 字符"/>
    <w:basedOn w:val="13"/>
    <w:link w:val="3"/>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3"/>
    <w:link w:val="6"/>
    <w:semiHidden/>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日期 字符"/>
    <w:basedOn w:val="13"/>
    <w:link w:val="5"/>
    <w:semiHidden/>
    <w:qFormat/>
    <w:uiPriority w:val="99"/>
    <w:rPr>
      <w:kern w:val="2"/>
      <w:sz w:val="21"/>
      <w:szCs w:val="22"/>
    </w:rPr>
  </w:style>
  <w:style w:type="paragraph" w:styleId="23">
    <w:name w:val="List Paragraph"/>
    <w:basedOn w:val="1"/>
    <w:qFormat/>
    <w:uiPriority w:val="34"/>
    <w:pPr>
      <w:ind w:firstLine="420" w:firstLineChars="200"/>
    </w:pPr>
  </w:style>
  <w:style w:type="character" w:customStyle="1" w:styleId="24">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1613-8CF4-4CC6-B78F-AAFD05822D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12491</Words>
  <Characters>12884</Characters>
  <Lines>25</Lines>
  <Paragraphs>7</Paragraphs>
  <TotalTime>1</TotalTime>
  <ScaleCrop>false</ScaleCrop>
  <LinksUpToDate>false</LinksUpToDate>
  <CharactersWithSpaces>12901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2018-09-26T07:05:00Z</dcterms:created>
  <dc:creator>Qin</dc:creator>
  <cp:lastModifiedBy>我是李瑶子</cp:lastModifiedBy>
  <cp:lastPrinted>2017-11-16T07:32:00Z</cp:lastPrinted>
  <dcterms:modified xsi:type="dcterms:W3CDTF">2022-06-08T03:36:40Z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BE2B780AC10F406A8E23A4900881E47F</vt:lpwstr>
  </property>
  <property fmtid="{D5CDD505-2E9C-101B-9397-08002B2CF9AE}" pid="4" name="commondata">
    <vt:lpwstr>eyJoZGlkIjoiMTI0ZWJkYWM3OWExYTU4YjNiMzEyMzM5NzNmYzAyZDAifQ==</vt:lpwstr>
  </property>
</Properties>
</file>